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</w:rPr>
        <w:t>These are two adversaries</w:t>
      </w:r>
      <w:bookmarkEnd w:id="0"/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who have disputed over their Lord. But those who disbelieved will have cut out for them garments of fire. Poured upon their heads will be scalding </w:t>
      </w:r>
      <w:proofErr w:type="gramStart"/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</w:rPr>
        <w:t>water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gram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20)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</w:rPr>
        <w:t>By which is melted that within their bellies and [their] skins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.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(21)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</w:rPr>
        <w:t>And for [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striking] them are maces of iro</w:t>
      </w:r>
      <w:r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n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(22)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</w:rPr>
        <w:t>Every time they want to get out of it [i.e., Hellfire] from anguish, they will be returned to it, and [it will be said], "Taste the punishment of the Burning Fire!"</w:t>
      </w:r>
    </w:p>
    <w:p w:rsidR="004E0C84" w:rsidRDefault="00F82E92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54BA3"/>
    <w:rsid w:val="00E7038F"/>
    <w:rsid w:val="00E82157"/>
    <w:rsid w:val="00E84EE0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2025-05-02T18:01:00Z</dcterms:created>
  <dcterms:modified xsi:type="dcterms:W3CDTF">2025-05-02T18:01:00Z</dcterms:modified>
</cp:coreProperties>
</file>