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There shall be no compulsion in [acceptance of] the religion. The right course has become distinct from the wrong. So whoever disbelieves in ‹‹Œgh´t[1] and believes in Allah has grasped the most trustworthy handhold with no break in it. And Allah is Hearing and Knowing.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